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AC" w:rsidRPr="00172BD5" w:rsidRDefault="004133AC" w:rsidP="00B11AAC">
      <w:pPr>
        <w:jc w:val="center"/>
        <w:rPr>
          <w:rFonts w:cs="Times New Roman"/>
          <w:szCs w:val="24"/>
          <w:lang w:val="en-AU"/>
        </w:rPr>
      </w:pPr>
      <w:bookmarkStart w:id="0" w:name="_GoBack"/>
      <w:r w:rsidRPr="00172BD5">
        <w:rPr>
          <w:rFonts w:cs="Times New Roman"/>
          <w:b/>
          <w:bCs/>
          <w:szCs w:val="24"/>
          <w:lang w:val="en-AU"/>
        </w:rPr>
        <w:t>Some Questions to Ponder:</w:t>
      </w:r>
    </w:p>
    <w:p w:rsidR="004133AC" w:rsidRPr="00172BD5" w:rsidRDefault="004133AC" w:rsidP="00B11AAC">
      <w:pPr>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From all the readings for this week, which particular verse or passage caught your attention and fired your heart and imagination?</w:t>
      </w:r>
    </w:p>
    <w:p w:rsidR="008225DD" w:rsidRPr="00172BD5" w:rsidRDefault="008225DD" w:rsidP="00B11AAC">
      <w:pPr>
        <w:ind w:left="720"/>
        <w:rPr>
          <w:rFonts w:cs="Times New Roman"/>
          <w:b/>
          <w:bCs/>
          <w:color w:val="C00000"/>
          <w:szCs w:val="24"/>
        </w:rPr>
      </w:pPr>
      <w:r w:rsidRPr="00172BD5">
        <w:rPr>
          <w:rFonts w:cs="Times New Roman"/>
          <w:color w:val="C00000"/>
          <w:szCs w:val="24"/>
          <w:lang w:val="en-AU"/>
        </w:rPr>
        <w:t xml:space="preserve">I was touched by the Targum to Isaiah 63:8: 8. </w:t>
      </w:r>
      <w:r w:rsidRPr="00172BD5">
        <w:rPr>
          <w:rFonts w:cs="Times New Roman"/>
          <w:color w:val="C00000"/>
          <w:szCs w:val="24"/>
        </w:rPr>
        <w:t xml:space="preserve">For he said, Surely they are My people, sons </w:t>
      </w:r>
      <w:r w:rsidRPr="00172BD5">
        <w:rPr>
          <w:rFonts w:cs="Times New Roman"/>
          <w:i/>
          <w:iCs/>
          <w:color w:val="C00000"/>
          <w:szCs w:val="24"/>
        </w:rPr>
        <w:t xml:space="preserve">who </w:t>
      </w:r>
      <w:r w:rsidRPr="00172BD5">
        <w:rPr>
          <w:rFonts w:cs="Times New Roman"/>
          <w:color w:val="C00000"/>
          <w:szCs w:val="24"/>
        </w:rPr>
        <w:t xml:space="preserve">will not deal falsely; </w:t>
      </w:r>
      <w:r w:rsidRPr="00172BD5">
        <w:rPr>
          <w:rFonts w:cs="Times New Roman"/>
          <w:b/>
          <w:bCs/>
          <w:color w:val="C00000"/>
          <w:szCs w:val="24"/>
        </w:rPr>
        <w:t xml:space="preserve">and </w:t>
      </w:r>
      <w:r w:rsidRPr="00172BD5">
        <w:rPr>
          <w:rFonts w:cs="Times New Roman"/>
          <w:b/>
          <w:bCs/>
          <w:i/>
          <w:iCs/>
          <w:color w:val="C00000"/>
          <w:szCs w:val="24"/>
        </w:rPr>
        <w:t xml:space="preserve">His Memra </w:t>
      </w:r>
      <w:r w:rsidRPr="00172BD5">
        <w:rPr>
          <w:rFonts w:cs="Times New Roman"/>
          <w:b/>
          <w:bCs/>
          <w:color w:val="C00000"/>
          <w:szCs w:val="24"/>
        </w:rPr>
        <w:t>became their Savior.</w:t>
      </w:r>
    </w:p>
    <w:p w:rsidR="008225DD" w:rsidRPr="00172BD5" w:rsidRDefault="008225DD"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14:1?</w:t>
      </w:r>
    </w:p>
    <w:p w:rsidR="00667044" w:rsidRPr="00172BD5" w:rsidRDefault="00667044" w:rsidP="00B11AAC">
      <w:pPr>
        <w:ind w:left="720"/>
        <w:rPr>
          <w:rFonts w:cs="Times New Roman"/>
          <w:bCs/>
          <w:color w:val="C00000"/>
          <w:szCs w:val="24"/>
        </w:rPr>
      </w:pPr>
      <w:r w:rsidRPr="00172BD5">
        <w:rPr>
          <w:rFonts w:cs="Times New Roman"/>
          <w:b/>
          <w:bCs/>
          <w:color w:val="C00000"/>
          <w:szCs w:val="24"/>
        </w:rPr>
        <w:t>You shall neither cut yourselves</w:t>
      </w:r>
      <w:r w:rsidRPr="00172BD5">
        <w:rPr>
          <w:rFonts w:cs="Times New Roman"/>
          <w:bCs/>
          <w:color w:val="C00000"/>
          <w:szCs w:val="24"/>
        </w:rPr>
        <w:t xml:space="preserve"> – Why was this command given?</w:t>
      </w:r>
    </w:p>
    <w:p w:rsidR="00667044" w:rsidRPr="00172BD5" w:rsidRDefault="00667044" w:rsidP="00B11AAC">
      <w:pPr>
        <w:ind w:left="720"/>
        <w:rPr>
          <w:rFonts w:cs="Times New Roman"/>
          <w:color w:val="C00000"/>
          <w:szCs w:val="24"/>
          <w:lang w:val="en-AU"/>
        </w:rPr>
      </w:pPr>
      <w:r w:rsidRPr="00172BD5">
        <w:rPr>
          <w:rFonts w:cs="Times New Roman"/>
          <w:b/>
          <w:bCs/>
          <w:color w:val="C00000"/>
          <w:szCs w:val="24"/>
        </w:rPr>
        <w:t>[nor make any baldness] between your eyes</w:t>
      </w:r>
      <w:r w:rsidRPr="00172BD5">
        <w:rPr>
          <w:rFonts w:cs="Times New Roman"/>
          <w:bCs/>
          <w:color w:val="C00000"/>
          <w:szCs w:val="24"/>
        </w:rPr>
        <w:t xml:space="preserve"> – What part of the head is included in this command?</w:t>
      </w:r>
    </w:p>
    <w:p w:rsidR="00667044" w:rsidRPr="00172BD5" w:rsidRDefault="00667044"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14:2?</w:t>
      </w:r>
    </w:p>
    <w:p w:rsidR="00384C94" w:rsidRPr="00172BD5" w:rsidRDefault="00384C94" w:rsidP="00B11AAC">
      <w:pPr>
        <w:ind w:left="720"/>
        <w:rPr>
          <w:rFonts w:cs="Times New Roman"/>
          <w:color w:val="C00000"/>
          <w:szCs w:val="24"/>
          <w:lang w:val="en-AU"/>
        </w:rPr>
      </w:pPr>
      <w:r w:rsidRPr="00172BD5">
        <w:rPr>
          <w:rFonts w:cs="Times New Roman"/>
          <w:b/>
          <w:bCs/>
          <w:color w:val="C00000"/>
          <w:szCs w:val="24"/>
        </w:rPr>
        <w:t>For you are a holy people</w:t>
      </w:r>
      <w:r w:rsidRPr="00172BD5">
        <w:rPr>
          <w:rFonts w:cs="Times New Roman"/>
          <w:bCs/>
          <w:color w:val="C00000"/>
          <w:szCs w:val="24"/>
        </w:rPr>
        <w:t xml:space="preserve"> – Why are they holy?</w:t>
      </w:r>
    </w:p>
    <w:p w:rsidR="00384C94" w:rsidRPr="00172BD5" w:rsidRDefault="00384C94"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14:3?</w:t>
      </w:r>
    </w:p>
    <w:p w:rsidR="002038B6" w:rsidRPr="00172BD5" w:rsidRDefault="002038B6" w:rsidP="00B11AAC">
      <w:pPr>
        <w:ind w:left="720"/>
        <w:rPr>
          <w:rFonts w:cs="Times New Roman"/>
          <w:color w:val="C00000"/>
          <w:szCs w:val="24"/>
          <w:lang w:val="en-AU"/>
        </w:rPr>
      </w:pPr>
      <w:r w:rsidRPr="00172BD5">
        <w:rPr>
          <w:rFonts w:cs="Times New Roman"/>
          <w:b/>
          <w:bCs/>
          <w:color w:val="C00000"/>
          <w:szCs w:val="24"/>
        </w:rPr>
        <w:t>[You shall not eat] any abomination</w:t>
      </w:r>
      <w:r w:rsidRPr="00172BD5">
        <w:rPr>
          <w:rFonts w:cs="Times New Roman"/>
          <w:bCs/>
          <w:color w:val="C00000"/>
          <w:szCs w:val="24"/>
        </w:rPr>
        <w:t xml:space="preserve"> </w:t>
      </w:r>
      <w:r w:rsidR="005D31DD" w:rsidRPr="00172BD5">
        <w:rPr>
          <w:rFonts w:cs="Times New Roman"/>
          <w:bCs/>
          <w:color w:val="C00000"/>
          <w:szCs w:val="24"/>
        </w:rPr>
        <w:t>–</w:t>
      </w:r>
      <w:r w:rsidRPr="00172BD5">
        <w:rPr>
          <w:rFonts w:cs="Times New Roman"/>
          <w:bCs/>
          <w:color w:val="C00000"/>
          <w:szCs w:val="24"/>
        </w:rPr>
        <w:t xml:space="preserve"> </w:t>
      </w:r>
      <w:r w:rsidR="005D31DD" w:rsidRPr="00172BD5">
        <w:rPr>
          <w:rFonts w:cs="Times New Roman"/>
          <w:bCs/>
          <w:color w:val="C00000"/>
          <w:szCs w:val="24"/>
        </w:rPr>
        <w:t>Why are we forbidden to eat these?</w:t>
      </w:r>
    </w:p>
    <w:p w:rsidR="002038B6" w:rsidRPr="00172BD5" w:rsidRDefault="002038B6"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14:21?</w:t>
      </w:r>
    </w:p>
    <w:p w:rsidR="00D355BC" w:rsidRPr="00172BD5" w:rsidRDefault="00D355BC" w:rsidP="00B11AAC">
      <w:pPr>
        <w:ind w:left="720"/>
        <w:rPr>
          <w:rFonts w:cs="Times New Roman"/>
          <w:bCs/>
          <w:color w:val="C00000"/>
          <w:szCs w:val="24"/>
        </w:rPr>
      </w:pPr>
      <w:r w:rsidRPr="00172BD5">
        <w:rPr>
          <w:rFonts w:cs="Times New Roman"/>
          <w:b/>
          <w:bCs/>
          <w:color w:val="C00000"/>
          <w:szCs w:val="24"/>
        </w:rPr>
        <w:t>You shall not eat any carcass.</w:t>
      </w:r>
      <w:r w:rsidRPr="00172BD5">
        <w:rPr>
          <w:rFonts w:cs="Times New Roman"/>
          <w:bCs/>
          <w:color w:val="C00000"/>
          <w:szCs w:val="24"/>
        </w:rPr>
        <w:t xml:space="preserve"> – What can be done with these carcasses?</w:t>
      </w:r>
    </w:p>
    <w:p w:rsidR="00D355BC" w:rsidRPr="00172BD5" w:rsidRDefault="00D355BC" w:rsidP="00B11AAC">
      <w:pPr>
        <w:ind w:left="720"/>
        <w:rPr>
          <w:rFonts w:cs="Times New Roman"/>
          <w:bCs/>
          <w:color w:val="C00000"/>
          <w:szCs w:val="24"/>
        </w:rPr>
      </w:pPr>
      <w:r w:rsidRPr="00172BD5">
        <w:rPr>
          <w:rFonts w:cs="Times New Roman"/>
          <w:b/>
          <w:bCs/>
          <w:color w:val="C00000"/>
          <w:szCs w:val="24"/>
        </w:rPr>
        <w:t>for you are a holy people to the Lord</w:t>
      </w:r>
      <w:r w:rsidRPr="00172BD5">
        <w:rPr>
          <w:rFonts w:cs="Times New Roman"/>
          <w:bCs/>
          <w:color w:val="C00000"/>
          <w:szCs w:val="24"/>
        </w:rPr>
        <w:t xml:space="preserve"> – What are the implications of this pasuk?</w:t>
      </w:r>
    </w:p>
    <w:p w:rsidR="00D355BC" w:rsidRPr="00172BD5" w:rsidRDefault="00D355BC" w:rsidP="00B11AAC">
      <w:pPr>
        <w:ind w:left="720"/>
        <w:rPr>
          <w:rFonts w:cs="Times New Roman"/>
          <w:color w:val="C00000"/>
          <w:szCs w:val="24"/>
          <w:lang w:val="en-AU"/>
        </w:rPr>
      </w:pPr>
      <w:r w:rsidRPr="00172BD5">
        <w:rPr>
          <w:rFonts w:cs="Times New Roman"/>
          <w:b/>
          <w:bCs/>
          <w:color w:val="C00000"/>
          <w:szCs w:val="24"/>
        </w:rPr>
        <w:t>You shall not cook a kid [in its mother’s milk]</w:t>
      </w:r>
      <w:r w:rsidRPr="00172BD5">
        <w:rPr>
          <w:rFonts w:cs="Times New Roman"/>
          <w:bCs/>
          <w:color w:val="C00000"/>
          <w:szCs w:val="24"/>
        </w:rPr>
        <w:t xml:space="preserve"> – Are any animals excluded from this command?</w:t>
      </w:r>
    </w:p>
    <w:p w:rsidR="00D355BC" w:rsidRPr="00172BD5" w:rsidRDefault="00D355BC"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14:22?</w:t>
      </w:r>
    </w:p>
    <w:p w:rsidR="00410E73" w:rsidRPr="00172BD5" w:rsidRDefault="00410E73" w:rsidP="00B11AAC">
      <w:pPr>
        <w:pStyle w:val="ListParagraph"/>
        <w:rPr>
          <w:rFonts w:cs="Times New Roman"/>
          <w:color w:val="C00000"/>
          <w:szCs w:val="24"/>
        </w:rPr>
      </w:pPr>
      <w:r w:rsidRPr="00172BD5">
        <w:rPr>
          <w:rFonts w:cs="Times New Roman"/>
          <w:b/>
          <w:bCs/>
          <w:color w:val="C00000"/>
          <w:szCs w:val="24"/>
        </w:rPr>
        <w:t xml:space="preserve">You shall not cook a kid [in its mother’s milk] </w:t>
      </w:r>
    </w:p>
    <w:p w:rsidR="00410E73" w:rsidRPr="00172BD5" w:rsidRDefault="00410E73" w:rsidP="00B11AAC">
      <w:pPr>
        <w:pStyle w:val="ListParagraph"/>
        <w:rPr>
          <w:rFonts w:cs="Times New Roman"/>
          <w:bCs/>
          <w:color w:val="C00000"/>
          <w:szCs w:val="24"/>
        </w:rPr>
      </w:pPr>
      <w:r w:rsidRPr="00172BD5">
        <w:rPr>
          <w:rFonts w:cs="Times New Roman"/>
          <w:b/>
          <w:bCs/>
          <w:color w:val="C00000"/>
          <w:szCs w:val="24"/>
        </w:rPr>
        <w:t>22 You shall tithe [all the seed crop]</w:t>
      </w:r>
      <w:r w:rsidRPr="00172BD5">
        <w:rPr>
          <w:rFonts w:cs="Times New Roman"/>
          <w:bCs/>
          <w:color w:val="C00000"/>
          <w:szCs w:val="24"/>
        </w:rPr>
        <w:t xml:space="preserve"> - What has one matter to do with the other [i.e., the prohibition of cooking a kid, and tithing]?</w:t>
      </w:r>
    </w:p>
    <w:p w:rsidR="00410E73" w:rsidRPr="00172BD5" w:rsidRDefault="00410E73" w:rsidP="00B11AAC">
      <w:pPr>
        <w:pStyle w:val="ListParagraph"/>
        <w:rPr>
          <w:rFonts w:cs="Times New Roman"/>
          <w:color w:val="C00000"/>
          <w:szCs w:val="24"/>
          <w:lang w:val="en-AU"/>
        </w:rPr>
      </w:pPr>
      <w:r w:rsidRPr="00172BD5">
        <w:rPr>
          <w:rFonts w:cs="Times New Roman"/>
          <w:b/>
          <w:bCs/>
          <w:color w:val="C00000"/>
          <w:szCs w:val="24"/>
        </w:rPr>
        <w:t>[You shall tithe...] year by year</w:t>
      </w:r>
      <w:r w:rsidRPr="00172BD5">
        <w:rPr>
          <w:rFonts w:cs="Times New Roman"/>
          <w:bCs/>
          <w:color w:val="C00000"/>
          <w:szCs w:val="24"/>
        </w:rPr>
        <w:t xml:space="preserve"> – What do we derive from this pasuk?</w:t>
      </w:r>
    </w:p>
    <w:p w:rsidR="00410E73" w:rsidRPr="00172BD5" w:rsidRDefault="00410E73"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14:27?</w:t>
      </w:r>
    </w:p>
    <w:p w:rsidR="00333EC9" w:rsidRPr="00172BD5" w:rsidRDefault="00333EC9" w:rsidP="00B11AAC">
      <w:pPr>
        <w:ind w:left="720"/>
        <w:rPr>
          <w:rFonts w:cs="Times New Roman"/>
          <w:bCs/>
          <w:color w:val="C00000"/>
          <w:szCs w:val="24"/>
        </w:rPr>
      </w:pPr>
      <w:r w:rsidRPr="00172BD5">
        <w:rPr>
          <w:rFonts w:cs="Times New Roman"/>
          <w:b/>
          <w:bCs/>
          <w:color w:val="C00000"/>
          <w:szCs w:val="24"/>
        </w:rPr>
        <w:t>And [as for] the Levite... - you shall not forsake him</w:t>
      </w:r>
      <w:r w:rsidRPr="00172BD5">
        <w:rPr>
          <w:rFonts w:cs="Times New Roman"/>
          <w:bCs/>
          <w:color w:val="C00000"/>
          <w:szCs w:val="24"/>
        </w:rPr>
        <w:t xml:space="preserve"> – How do we accomplish this?</w:t>
      </w:r>
    </w:p>
    <w:p w:rsidR="00333EC9" w:rsidRPr="00172BD5" w:rsidRDefault="00333EC9" w:rsidP="00B11AAC">
      <w:pPr>
        <w:ind w:left="720"/>
        <w:rPr>
          <w:rFonts w:cs="Times New Roman"/>
          <w:color w:val="C00000"/>
          <w:szCs w:val="24"/>
          <w:lang w:val="en-AU"/>
        </w:rPr>
      </w:pPr>
      <w:r w:rsidRPr="00172BD5">
        <w:rPr>
          <w:rFonts w:cs="Times New Roman"/>
          <w:b/>
          <w:bCs/>
          <w:color w:val="C00000"/>
          <w:szCs w:val="24"/>
        </w:rPr>
        <w:t>for he has neither portion nor inheritance with you</w:t>
      </w:r>
      <w:r w:rsidRPr="00172BD5">
        <w:rPr>
          <w:rFonts w:cs="Times New Roman"/>
          <w:bCs/>
          <w:color w:val="C00000"/>
          <w:szCs w:val="24"/>
        </w:rPr>
        <w:t xml:space="preserve"> – What does this exclude?</w:t>
      </w:r>
    </w:p>
    <w:p w:rsidR="00333EC9" w:rsidRPr="00172BD5" w:rsidRDefault="00333EC9"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14:29?</w:t>
      </w:r>
    </w:p>
    <w:p w:rsidR="00FD74D2" w:rsidRPr="00172BD5" w:rsidRDefault="00FD74D2" w:rsidP="00B11AAC">
      <w:pPr>
        <w:ind w:left="720"/>
        <w:rPr>
          <w:rFonts w:cs="Times New Roman"/>
          <w:bCs/>
          <w:color w:val="C00000"/>
          <w:szCs w:val="24"/>
        </w:rPr>
      </w:pPr>
      <w:r w:rsidRPr="00172BD5">
        <w:rPr>
          <w:rFonts w:cs="Times New Roman"/>
          <w:b/>
          <w:bCs/>
          <w:color w:val="C00000"/>
          <w:szCs w:val="24"/>
        </w:rPr>
        <w:t>And the Levite... will come</w:t>
      </w:r>
      <w:r w:rsidRPr="00172BD5">
        <w:rPr>
          <w:rFonts w:cs="Times New Roman"/>
          <w:bCs/>
          <w:color w:val="C00000"/>
          <w:szCs w:val="24"/>
        </w:rPr>
        <w:t xml:space="preserve"> – Why does he come?</w:t>
      </w:r>
    </w:p>
    <w:p w:rsidR="00FD74D2" w:rsidRPr="00172BD5" w:rsidRDefault="00FD74D2" w:rsidP="00B11AAC">
      <w:pPr>
        <w:ind w:left="720"/>
        <w:rPr>
          <w:rFonts w:cs="Times New Roman"/>
          <w:bCs/>
          <w:color w:val="C00000"/>
          <w:szCs w:val="24"/>
        </w:rPr>
      </w:pPr>
      <w:r w:rsidRPr="00172BD5">
        <w:rPr>
          <w:rFonts w:cs="Times New Roman"/>
          <w:b/>
          <w:bCs/>
          <w:color w:val="C00000"/>
          <w:szCs w:val="24"/>
        </w:rPr>
        <w:t>and the stranger, and the orphan... [will come]</w:t>
      </w:r>
      <w:r w:rsidRPr="00172BD5">
        <w:rPr>
          <w:rFonts w:cs="Times New Roman"/>
          <w:bCs/>
          <w:color w:val="C00000"/>
          <w:szCs w:val="24"/>
        </w:rPr>
        <w:t xml:space="preserve"> – Why will the come, and what are the implications of this?</w:t>
      </w:r>
    </w:p>
    <w:p w:rsidR="00FD74D2" w:rsidRPr="00172BD5" w:rsidRDefault="00FD74D2" w:rsidP="00B11AAC">
      <w:pPr>
        <w:ind w:left="720"/>
        <w:rPr>
          <w:rFonts w:cs="Times New Roman"/>
          <w:color w:val="C00000"/>
          <w:szCs w:val="24"/>
          <w:lang w:val="en-AU"/>
        </w:rPr>
      </w:pPr>
      <w:r w:rsidRPr="00172BD5">
        <w:rPr>
          <w:rFonts w:cs="Times New Roman"/>
          <w:b/>
          <w:bCs/>
          <w:color w:val="C00000"/>
          <w:szCs w:val="24"/>
        </w:rPr>
        <w:t>will come and eat and be satisfied</w:t>
      </w:r>
      <w:r w:rsidRPr="00172BD5">
        <w:rPr>
          <w:rFonts w:cs="Times New Roman"/>
          <w:bCs/>
          <w:color w:val="C00000"/>
          <w:szCs w:val="24"/>
        </w:rPr>
        <w:t xml:space="preserve"> – How will they be satisfied?</w:t>
      </w:r>
    </w:p>
    <w:p w:rsidR="00FD74D2" w:rsidRPr="00172BD5" w:rsidRDefault="00FD74D2"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15:1?</w:t>
      </w:r>
    </w:p>
    <w:p w:rsidR="00400939" w:rsidRPr="00172BD5" w:rsidRDefault="00400939" w:rsidP="00B11AAC">
      <w:pPr>
        <w:ind w:left="720"/>
        <w:rPr>
          <w:rFonts w:cs="Times New Roman"/>
          <w:color w:val="C00000"/>
          <w:szCs w:val="24"/>
          <w:lang w:val="en-AU"/>
        </w:rPr>
      </w:pPr>
      <w:r w:rsidRPr="00172BD5">
        <w:rPr>
          <w:rFonts w:cs="Times New Roman"/>
          <w:b/>
          <w:bCs/>
          <w:color w:val="C00000"/>
          <w:szCs w:val="24"/>
        </w:rPr>
        <w:t>At the end of seven years [you shall make a release]</w:t>
      </w:r>
      <w:r w:rsidRPr="00172BD5">
        <w:rPr>
          <w:rFonts w:cs="Times New Roman"/>
          <w:bCs/>
          <w:color w:val="C00000"/>
          <w:szCs w:val="24"/>
        </w:rPr>
        <w:t xml:space="preserve"> – </w:t>
      </w:r>
      <w:r w:rsidR="00A33DA1" w:rsidRPr="00172BD5">
        <w:rPr>
          <w:rFonts w:cs="Times New Roman"/>
          <w:bCs/>
          <w:color w:val="C00000"/>
          <w:szCs w:val="24"/>
        </w:rPr>
        <w:t>When does the year of release come and how does this relate to loans?</w:t>
      </w:r>
    </w:p>
    <w:p w:rsidR="00400939" w:rsidRPr="00172BD5" w:rsidRDefault="00400939" w:rsidP="00B11AAC">
      <w:pPr>
        <w:ind w:left="720"/>
        <w:rPr>
          <w:rFonts w:cs="Times New Roman"/>
          <w:szCs w:val="24"/>
          <w:lang w:val="en-AU"/>
        </w:rPr>
      </w:pPr>
    </w:p>
    <w:p w:rsidR="00C363E8" w:rsidRPr="00172BD5" w:rsidRDefault="00C363E8" w:rsidP="00B11AAC">
      <w:pPr>
        <w:ind w:left="720"/>
        <w:rPr>
          <w:rFonts w:cs="Times New Roman"/>
          <w:szCs w:val="24"/>
          <w:lang w:val="en-AU"/>
        </w:rPr>
      </w:pPr>
    </w:p>
    <w:p w:rsidR="00C363E8" w:rsidRPr="00172BD5" w:rsidRDefault="00C363E8"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lastRenderedPageBreak/>
        <w:t>What questions were asked of Rashi regarding Deut. 15:4?</w:t>
      </w:r>
    </w:p>
    <w:p w:rsidR="00A33DA1" w:rsidRPr="00172BD5" w:rsidRDefault="00A33DA1" w:rsidP="00B11AAC">
      <w:pPr>
        <w:ind w:left="720"/>
        <w:rPr>
          <w:rFonts w:cs="Times New Roman"/>
          <w:b/>
          <w:bCs/>
          <w:color w:val="C00000"/>
          <w:szCs w:val="24"/>
        </w:rPr>
      </w:pPr>
      <w:r w:rsidRPr="00172BD5">
        <w:rPr>
          <w:rFonts w:cs="Times New Roman"/>
          <w:b/>
          <w:bCs/>
          <w:color w:val="C00000"/>
          <w:szCs w:val="24"/>
        </w:rPr>
        <w:t>H</w:t>
      </w:r>
      <w:r w:rsidR="00001D83" w:rsidRPr="00172BD5">
        <w:rPr>
          <w:rFonts w:cs="Times New Roman"/>
          <w:b/>
          <w:bCs/>
          <w:color w:val="C00000"/>
          <w:szCs w:val="24"/>
        </w:rPr>
        <w:t>owever</w:t>
      </w:r>
      <w:r w:rsidRPr="00172BD5">
        <w:rPr>
          <w:rFonts w:cs="Times New Roman"/>
          <w:b/>
          <w:bCs/>
          <w:color w:val="C00000"/>
          <w:szCs w:val="24"/>
        </w:rPr>
        <w:t xml:space="preserve">, </w:t>
      </w:r>
      <w:r w:rsidR="00001D83" w:rsidRPr="00172BD5">
        <w:rPr>
          <w:rFonts w:cs="Times New Roman"/>
          <w:b/>
          <w:bCs/>
          <w:color w:val="C00000"/>
          <w:szCs w:val="24"/>
        </w:rPr>
        <w:t>there</w:t>
      </w:r>
      <w:r w:rsidRPr="00172BD5">
        <w:rPr>
          <w:rFonts w:cs="Times New Roman"/>
          <w:b/>
          <w:bCs/>
          <w:color w:val="C00000"/>
          <w:szCs w:val="24"/>
        </w:rPr>
        <w:t xml:space="preserve"> </w:t>
      </w:r>
      <w:r w:rsidR="00001D83" w:rsidRPr="00172BD5">
        <w:rPr>
          <w:rFonts w:cs="Times New Roman"/>
          <w:b/>
          <w:bCs/>
          <w:color w:val="C00000"/>
          <w:szCs w:val="24"/>
        </w:rPr>
        <w:t>will</w:t>
      </w:r>
      <w:r w:rsidRPr="00172BD5">
        <w:rPr>
          <w:rFonts w:cs="Times New Roman"/>
          <w:b/>
          <w:bCs/>
          <w:color w:val="C00000"/>
          <w:szCs w:val="24"/>
        </w:rPr>
        <w:t xml:space="preserve"> </w:t>
      </w:r>
      <w:r w:rsidR="00001D83" w:rsidRPr="00172BD5">
        <w:rPr>
          <w:rFonts w:cs="Times New Roman"/>
          <w:b/>
          <w:bCs/>
          <w:color w:val="C00000"/>
          <w:szCs w:val="24"/>
        </w:rPr>
        <w:t>be</w:t>
      </w:r>
      <w:r w:rsidRPr="00172BD5">
        <w:rPr>
          <w:rFonts w:cs="Times New Roman"/>
          <w:b/>
          <w:bCs/>
          <w:color w:val="C00000"/>
          <w:szCs w:val="24"/>
        </w:rPr>
        <w:t xml:space="preserve"> </w:t>
      </w:r>
      <w:r w:rsidR="00001D83" w:rsidRPr="00172BD5">
        <w:rPr>
          <w:rFonts w:cs="Times New Roman"/>
          <w:b/>
          <w:bCs/>
          <w:color w:val="C00000"/>
          <w:szCs w:val="24"/>
        </w:rPr>
        <w:t>no</w:t>
      </w:r>
      <w:r w:rsidRPr="00172BD5">
        <w:rPr>
          <w:rFonts w:cs="Times New Roman"/>
          <w:b/>
          <w:bCs/>
          <w:color w:val="C00000"/>
          <w:szCs w:val="24"/>
        </w:rPr>
        <w:t xml:space="preserve"> </w:t>
      </w:r>
      <w:r w:rsidR="00001D83" w:rsidRPr="00172BD5">
        <w:rPr>
          <w:rFonts w:cs="Times New Roman"/>
          <w:b/>
          <w:bCs/>
          <w:color w:val="C00000"/>
          <w:szCs w:val="24"/>
        </w:rPr>
        <w:t>needy</w:t>
      </w:r>
      <w:r w:rsidRPr="00172BD5">
        <w:rPr>
          <w:rFonts w:cs="Times New Roman"/>
          <w:b/>
          <w:bCs/>
          <w:color w:val="C00000"/>
          <w:szCs w:val="24"/>
        </w:rPr>
        <w:t xml:space="preserve"> </w:t>
      </w:r>
      <w:r w:rsidR="00001D83" w:rsidRPr="00172BD5">
        <w:rPr>
          <w:rFonts w:cs="Times New Roman"/>
          <w:b/>
          <w:bCs/>
          <w:color w:val="C00000"/>
          <w:szCs w:val="24"/>
        </w:rPr>
        <w:t>among</w:t>
      </w:r>
      <w:r w:rsidRPr="00172BD5">
        <w:rPr>
          <w:rFonts w:cs="Times New Roman"/>
          <w:b/>
          <w:bCs/>
          <w:color w:val="C00000"/>
          <w:szCs w:val="24"/>
        </w:rPr>
        <w:t xml:space="preserve"> </w:t>
      </w:r>
      <w:r w:rsidR="00001D83" w:rsidRPr="00172BD5">
        <w:rPr>
          <w:rFonts w:cs="Times New Roman"/>
          <w:b/>
          <w:bCs/>
          <w:color w:val="C00000"/>
          <w:szCs w:val="24"/>
        </w:rPr>
        <w:t>you</w:t>
      </w:r>
      <w:r w:rsidRPr="00172BD5">
        <w:rPr>
          <w:rFonts w:cs="Times New Roman"/>
          <w:b/>
          <w:bCs/>
          <w:color w:val="C00000"/>
          <w:szCs w:val="24"/>
        </w:rPr>
        <w:t xml:space="preserve"> </w:t>
      </w:r>
      <w:r w:rsidRPr="00172BD5">
        <w:rPr>
          <w:rFonts w:cs="Times New Roman"/>
          <w:bCs/>
          <w:color w:val="C00000"/>
          <w:szCs w:val="24"/>
        </w:rPr>
        <w:t>– How is this verse explained, it seems to be a contradiction?</w:t>
      </w:r>
    </w:p>
    <w:p w:rsidR="00A33DA1" w:rsidRPr="00172BD5" w:rsidRDefault="00A33DA1" w:rsidP="00B11AAC">
      <w:pPr>
        <w:ind w:left="720"/>
        <w:rPr>
          <w:rFonts w:cs="Times New Roman"/>
          <w:b/>
          <w:bCs/>
          <w:color w:val="C00000"/>
          <w:szCs w:val="24"/>
        </w:rPr>
      </w:pPr>
    </w:p>
    <w:p w:rsidR="00C363E8" w:rsidRPr="00172BD5" w:rsidRDefault="00A33DA1" w:rsidP="00B11AAC">
      <w:pPr>
        <w:ind w:left="720"/>
        <w:rPr>
          <w:rFonts w:cs="Times New Roman"/>
          <w:bCs/>
          <w:color w:val="C00000"/>
          <w:szCs w:val="24"/>
        </w:rPr>
      </w:pPr>
      <w:r w:rsidRPr="00172BD5">
        <w:rPr>
          <w:rFonts w:cs="Times New Roman"/>
          <w:b/>
          <w:bCs/>
          <w:color w:val="C00000"/>
          <w:szCs w:val="24"/>
        </w:rPr>
        <w:t>N</w:t>
      </w:r>
      <w:r w:rsidR="00001D83" w:rsidRPr="00172BD5">
        <w:rPr>
          <w:rFonts w:cs="Times New Roman"/>
          <w:b/>
          <w:bCs/>
          <w:color w:val="C00000"/>
          <w:szCs w:val="24"/>
        </w:rPr>
        <w:t>eedy</w:t>
      </w:r>
      <w:r w:rsidRPr="00172BD5">
        <w:rPr>
          <w:rFonts w:cs="Times New Roman"/>
          <w:b/>
          <w:bCs/>
          <w:color w:val="C00000"/>
          <w:szCs w:val="24"/>
        </w:rPr>
        <w:t xml:space="preserve"> </w:t>
      </w:r>
      <w:r w:rsidRPr="00172BD5">
        <w:rPr>
          <w:rFonts w:cs="Times New Roman"/>
          <w:bCs/>
          <w:color w:val="C00000"/>
          <w:szCs w:val="24"/>
        </w:rPr>
        <w:t>– What does the Hebrew phrase אֶבְיוֹן denote?</w:t>
      </w:r>
    </w:p>
    <w:p w:rsidR="00A33DA1" w:rsidRPr="00172BD5" w:rsidRDefault="00A33DA1"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questions were asked of Rashi regarding Deut. 15:6?</w:t>
      </w:r>
    </w:p>
    <w:p w:rsidR="00D41408" w:rsidRPr="00172BD5" w:rsidRDefault="00D41408" w:rsidP="00B11AAC">
      <w:pPr>
        <w:ind w:left="720"/>
        <w:rPr>
          <w:rFonts w:cs="Times New Roman"/>
          <w:color w:val="C00000"/>
          <w:szCs w:val="24"/>
        </w:rPr>
      </w:pPr>
      <w:r w:rsidRPr="00172BD5">
        <w:rPr>
          <w:rFonts w:cs="Times New Roman"/>
          <w:b/>
          <w:bCs/>
          <w:color w:val="C00000"/>
          <w:szCs w:val="24"/>
        </w:rPr>
        <w:t>[For the Lord, your God, has blessed you,] as He has spoken to you</w:t>
      </w:r>
      <w:r w:rsidRPr="00172BD5">
        <w:rPr>
          <w:rFonts w:cs="Times New Roman"/>
          <w:color w:val="C00000"/>
          <w:szCs w:val="24"/>
        </w:rPr>
        <w:t xml:space="preserve"> - And where did He speak about this?</w:t>
      </w:r>
    </w:p>
    <w:p w:rsidR="00D41408" w:rsidRPr="00172BD5" w:rsidRDefault="00D41408" w:rsidP="00B11AAC">
      <w:pPr>
        <w:ind w:left="720"/>
        <w:rPr>
          <w:rFonts w:cs="Times New Roman"/>
          <w:color w:val="C00000"/>
          <w:szCs w:val="24"/>
          <w:lang w:bidi="he-IL"/>
        </w:rPr>
      </w:pPr>
      <w:r w:rsidRPr="00172BD5">
        <w:rPr>
          <w:rFonts w:cs="Times New Roman"/>
          <w:b/>
          <w:bCs/>
          <w:color w:val="C00000"/>
          <w:szCs w:val="24"/>
        </w:rPr>
        <w:t xml:space="preserve">and you will lend </w:t>
      </w:r>
      <w:r w:rsidRPr="00172BD5">
        <w:rPr>
          <w:rFonts w:cs="Times New Roman"/>
          <w:bCs/>
          <w:color w:val="C00000"/>
          <w:szCs w:val="24"/>
        </w:rPr>
        <w:t xml:space="preserve">– What is the meaning of the </w:t>
      </w:r>
      <w:r w:rsidRPr="00172BD5">
        <w:rPr>
          <w:rFonts w:cs="Times New Roman"/>
          <w:color w:val="C00000"/>
          <w:szCs w:val="24"/>
        </w:rPr>
        <w:t xml:space="preserve">Hebrew word:  </w:t>
      </w:r>
      <w:r w:rsidRPr="00172BD5">
        <w:rPr>
          <w:rFonts w:cs="Times New Roman"/>
          <w:color w:val="C00000"/>
          <w:szCs w:val="24"/>
          <w:rtl/>
          <w:lang w:val="en-AU" w:bidi="he-IL"/>
        </w:rPr>
        <w:t>וְהַעֲבַטְתָּ</w:t>
      </w:r>
      <w:r w:rsidRPr="00172BD5">
        <w:rPr>
          <w:rFonts w:cs="Times New Roman"/>
          <w:color w:val="C00000"/>
          <w:szCs w:val="24"/>
          <w:lang w:bidi="he-IL"/>
        </w:rPr>
        <w:t>?</w:t>
      </w:r>
    </w:p>
    <w:p w:rsidR="00D41408" w:rsidRPr="00172BD5" w:rsidRDefault="00D41408" w:rsidP="00B11AAC">
      <w:pPr>
        <w:ind w:left="720"/>
        <w:rPr>
          <w:rFonts w:cs="Times New Roman"/>
          <w:bCs/>
          <w:color w:val="C00000"/>
          <w:szCs w:val="24"/>
        </w:rPr>
      </w:pPr>
      <w:r w:rsidRPr="00172BD5">
        <w:rPr>
          <w:rFonts w:cs="Times New Roman"/>
          <w:b/>
          <w:bCs/>
          <w:color w:val="C00000"/>
          <w:szCs w:val="24"/>
        </w:rPr>
        <w:t>and you will lend to [many] nations</w:t>
      </w:r>
      <w:r w:rsidRPr="00172BD5">
        <w:rPr>
          <w:rFonts w:cs="Times New Roman"/>
          <w:bCs/>
          <w:color w:val="C00000"/>
          <w:szCs w:val="24"/>
        </w:rPr>
        <w:t xml:space="preserve"> – What are we to understand from this?</w:t>
      </w:r>
    </w:p>
    <w:p w:rsidR="00D41408" w:rsidRPr="00172BD5" w:rsidRDefault="00D41408" w:rsidP="00B11AAC">
      <w:pPr>
        <w:ind w:left="720"/>
        <w:rPr>
          <w:rFonts w:cs="Times New Roman"/>
          <w:color w:val="C00000"/>
          <w:szCs w:val="24"/>
        </w:rPr>
      </w:pPr>
      <w:r w:rsidRPr="00172BD5">
        <w:rPr>
          <w:rFonts w:cs="Times New Roman"/>
          <w:b/>
          <w:bCs/>
          <w:color w:val="C00000"/>
          <w:szCs w:val="24"/>
        </w:rPr>
        <w:t xml:space="preserve">and you will rule over many nations </w:t>
      </w:r>
      <w:r w:rsidRPr="00172BD5">
        <w:rPr>
          <w:rFonts w:cs="Times New Roman"/>
          <w:bCs/>
          <w:color w:val="C00000"/>
          <w:szCs w:val="24"/>
        </w:rPr>
        <w:t>– What are we to understand from this?</w:t>
      </w:r>
    </w:p>
    <w:p w:rsidR="00D41408" w:rsidRPr="00172BD5" w:rsidRDefault="00D41408"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in the Torah Seder this week fired the imagination of the Psalmist as he penned Psalm 119: 105-136?</w:t>
      </w:r>
    </w:p>
    <w:p w:rsidR="008C7135" w:rsidRPr="00172BD5" w:rsidRDefault="008C7135" w:rsidP="00B11AAC">
      <w:pPr>
        <w:ind w:left="720"/>
        <w:rPr>
          <w:rFonts w:cs="Times New Roman"/>
          <w:color w:val="C00000"/>
          <w:szCs w:val="24"/>
          <w:lang w:val="en-AU"/>
        </w:rPr>
      </w:pPr>
      <w:r w:rsidRPr="00172BD5">
        <w:rPr>
          <w:rFonts w:cs="Times New Roman"/>
          <w:color w:val="C00000"/>
          <w:szCs w:val="24"/>
          <w:lang w:val="en-AU"/>
        </w:rPr>
        <w:t>King David approaches our section of Psalm 119 by noticing that there is a verbal tally between the Torah and the Psalm which focuses on ‘eyes’ ‘face’ or ‘presence’.</w:t>
      </w:r>
    </w:p>
    <w:p w:rsidR="008C7135" w:rsidRPr="00172BD5" w:rsidRDefault="008C7135"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in the Torah Seder this week fired the imagination of the prophet in the Ashlamatah of Isaiah 63:8ff?</w:t>
      </w:r>
    </w:p>
    <w:p w:rsidR="008C7135" w:rsidRPr="00172BD5" w:rsidRDefault="008C7135" w:rsidP="00B11AAC">
      <w:pPr>
        <w:ind w:left="720"/>
        <w:rPr>
          <w:rFonts w:cs="Times New Roman"/>
          <w:color w:val="C00000"/>
          <w:szCs w:val="24"/>
          <w:lang w:val="en-AU"/>
        </w:rPr>
      </w:pPr>
      <w:r w:rsidRPr="00172BD5">
        <w:rPr>
          <w:rFonts w:cs="Times New Roman"/>
          <w:color w:val="C00000"/>
          <w:szCs w:val="24"/>
          <w:lang w:val="en-AU"/>
        </w:rPr>
        <w:t xml:space="preserve">The verbal tally between our Torah Seder and Ashlamatah (Prophetic Lesson) is </w:t>
      </w:r>
      <w:r w:rsidR="006A7C54" w:rsidRPr="00172BD5">
        <w:rPr>
          <w:rFonts w:cs="Times New Roman"/>
          <w:color w:val="C00000"/>
          <w:szCs w:val="24"/>
          <w:lang w:val="en-AU"/>
        </w:rPr>
        <w:t xml:space="preserve">“saviors” and </w:t>
      </w:r>
      <w:r w:rsidRPr="00172BD5">
        <w:rPr>
          <w:rFonts w:cs="Times New Roman"/>
          <w:color w:val="C00000"/>
          <w:szCs w:val="24"/>
          <w:lang w:val="en-AU"/>
        </w:rPr>
        <w:t>“children</w:t>
      </w:r>
      <w:r w:rsidR="006A7C54" w:rsidRPr="00172BD5">
        <w:rPr>
          <w:rFonts w:cs="Times New Roman"/>
          <w:color w:val="C00000"/>
          <w:szCs w:val="24"/>
          <w:lang w:val="en-AU"/>
        </w:rPr>
        <w:t xml:space="preserve"> / sons</w:t>
      </w:r>
      <w:r w:rsidRPr="00172BD5">
        <w:rPr>
          <w:rFonts w:cs="Times New Roman"/>
          <w:color w:val="C00000"/>
          <w:szCs w:val="24"/>
          <w:lang w:val="en-AU"/>
        </w:rPr>
        <w:t>”.</w:t>
      </w:r>
    </w:p>
    <w:p w:rsidR="008C7135" w:rsidRPr="00172BD5" w:rsidRDefault="008C7135"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How does Tehillim 119:110. Relate to our present pericope of Mark?</w:t>
      </w:r>
    </w:p>
    <w:p w:rsidR="008C7135" w:rsidRPr="00172BD5" w:rsidRDefault="008C7135" w:rsidP="00B11AAC">
      <w:pPr>
        <w:pStyle w:val="Scripture"/>
        <w:spacing w:after="0"/>
        <w:ind w:left="720"/>
        <w:rPr>
          <w:rFonts w:cs="Times New Roman"/>
          <w:color w:val="C00000"/>
          <w:sz w:val="24"/>
          <w:szCs w:val="24"/>
          <w:lang w:bidi="ar-SA"/>
        </w:rPr>
      </w:pPr>
      <w:r w:rsidRPr="00172BD5">
        <w:rPr>
          <w:rFonts w:cs="Times New Roman"/>
          <w:b/>
          <w:color w:val="C00000"/>
          <w:sz w:val="24"/>
          <w:szCs w:val="24"/>
        </w:rPr>
        <w:t>Tehillim 119:110</w:t>
      </w:r>
      <w:r w:rsidRPr="00172BD5">
        <w:rPr>
          <w:rFonts w:cs="Times New Roman"/>
          <w:color w:val="C00000"/>
          <w:sz w:val="24"/>
          <w:szCs w:val="24"/>
        </w:rPr>
        <w:t>. The wicked laid a snare for me, but I did not stray from Your precepts.</w:t>
      </w:r>
    </w:p>
    <w:p w:rsidR="008C7135" w:rsidRPr="00172BD5" w:rsidRDefault="008C7135" w:rsidP="00B11AAC">
      <w:pPr>
        <w:pStyle w:val="Scripture"/>
        <w:spacing w:after="0"/>
        <w:ind w:left="720"/>
        <w:rPr>
          <w:rFonts w:cs="Times New Roman"/>
          <w:color w:val="C00000"/>
          <w:sz w:val="24"/>
          <w:szCs w:val="24"/>
        </w:rPr>
      </w:pPr>
      <w:r w:rsidRPr="00172BD5">
        <w:rPr>
          <w:rFonts w:cs="Times New Roman"/>
          <w:b/>
          <w:color w:val="C00000"/>
          <w:sz w:val="24"/>
          <w:szCs w:val="24"/>
        </w:rPr>
        <w:t xml:space="preserve">Mar 15:12 </w:t>
      </w:r>
      <w:r w:rsidRPr="00172BD5">
        <w:rPr>
          <w:rFonts w:cs="Times New Roman"/>
          <w:color w:val="C00000"/>
          <w:sz w:val="24"/>
          <w:szCs w:val="24"/>
        </w:rPr>
        <w:t>So Pilate answered (</w:t>
      </w:r>
      <w:r w:rsidRPr="00172BD5">
        <w:rPr>
          <w:rFonts w:cs="Times New Roman"/>
          <w:i/>
          <w:iCs/>
          <w:color w:val="C00000"/>
          <w:sz w:val="24"/>
          <w:szCs w:val="24"/>
        </w:rPr>
        <w:t>and</w:t>
      </w:r>
      <w:r w:rsidRPr="00172BD5">
        <w:rPr>
          <w:rFonts w:cs="Times New Roman"/>
          <w:iCs/>
          <w:color w:val="C00000"/>
          <w:sz w:val="24"/>
          <w:szCs w:val="24"/>
        </w:rPr>
        <w:t xml:space="preserve">) </w:t>
      </w:r>
      <w:r w:rsidRPr="00172BD5">
        <w:rPr>
          <w:rFonts w:cs="Times New Roman"/>
          <w:color w:val="C00000"/>
          <w:sz w:val="24"/>
          <w:szCs w:val="24"/>
        </w:rPr>
        <w:t>said to them again, "Then what do you want me to do with [</w:t>
      </w:r>
      <w:r w:rsidRPr="00172BD5">
        <w:rPr>
          <w:rFonts w:cs="Times New Roman"/>
          <w:i/>
          <w:iCs/>
          <w:color w:val="C00000"/>
          <w:sz w:val="24"/>
          <w:szCs w:val="24"/>
        </w:rPr>
        <w:t>the one</w:t>
      </w:r>
      <w:r w:rsidRPr="00172BD5">
        <w:rPr>
          <w:rFonts w:cs="Times New Roman"/>
          <w:iCs/>
          <w:color w:val="C00000"/>
          <w:sz w:val="24"/>
          <w:szCs w:val="24"/>
        </w:rPr>
        <w:t>]</w:t>
      </w:r>
      <w:r w:rsidRPr="00172BD5">
        <w:rPr>
          <w:rFonts w:cs="Times New Roman"/>
          <w:i/>
          <w:iCs/>
          <w:color w:val="C00000"/>
          <w:sz w:val="24"/>
          <w:szCs w:val="24"/>
        </w:rPr>
        <w:t xml:space="preserve"> </w:t>
      </w:r>
      <w:r w:rsidRPr="00172BD5">
        <w:rPr>
          <w:rFonts w:cs="Times New Roman"/>
          <w:color w:val="C00000"/>
          <w:sz w:val="24"/>
          <w:szCs w:val="24"/>
        </w:rPr>
        <w:t>whom you call the king of the Jews?"</w:t>
      </w:r>
    </w:p>
    <w:p w:rsidR="008C7135" w:rsidRPr="00172BD5" w:rsidRDefault="008C7135" w:rsidP="00B11AAC">
      <w:pPr>
        <w:ind w:left="720"/>
        <w:rPr>
          <w:rFonts w:cs="Times New Roman"/>
          <w:iCs/>
          <w:color w:val="C00000"/>
          <w:szCs w:val="24"/>
          <w:lang w:val="en-AU" w:bidi="en-US"/>
        </w:rPr>
      </w:pPr>
      <w:r w:rsidRPr="00172BD5">
        <w:rPr>
          <w:rFonts w:cs="Times New Roman"/>
          <w:iCs/>
          <w:color w:val="C00000"/>
          <w:szCs w:val="24"/>
          <w:lang w:val="en-AU" w:bidi="en-US"/>
        </w:rPr>
        <w:t xml:space="preserve">The trap of the enemy was to act like Bar Abba, Rabbi Akiba and Bar Kokhba. However, Yeshua refused, to the point of death to conduct himself in any behavior that was contrary to the will of G-d. </w:t>
      </w:r>
      <w:r w:rsidR="00B11AAC" w:rsidRPr="00172BD5">
        <w:rPr>
          <w:rFonts w:cs="Times New Roman"/>
          <w:iCs/>
          <w:color w:val="C00000"/>
          <w:szCs w:val="24"/>
          <w:lang w:val="en-AU" w:bidi="en-US"/>
        </w:rPr>
        <w:t>In other words Yeshua followed G-d’s plan for his life rather than trying to control his own destiny.</w:t>
      </w:r>
    </w:p>
    <w:p w:rsidR="00B11AAC" w:rsidRPr="00172BD5" w:rsidRDefault="00B11AAC"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in the Torah Seder, Psalm and Prophetic Lesson for this week fired the imagination of Hakham Tsefet as his scribe penned Mark 15:6-15?</w:t>
      </w:r>
    </w:p>
    <w:p w:rsidR="00BC4FCB" w:rsidRPr="00172BD5" w:rsidRDefault="00BC4FCB" w:rsidP="00B11AAC">
      <w:pPr>
        <w:pStyle w:val="ListParagraph"/>
        <w:rPr>
          <w:rFonts w:cs="Times New Roman"/>
          <w:color w:val="C00000"/>
          <w:szCs w:val="24"/>
        </w:rPr>
      </w:pPr>
      <w:r w:rsidRPr="00172BD5">
        <w:rPr>
          <w:rFonts w:cs="Times New Roman"/>
          <w:b/>
          <w:bCs/>
          <w:color w:val="C00000"/>
          <w:szCs w:val="24"/>
        </w:rPr>
        <w:t>Torah Seder</w:t>
      </w:r>
      <w:r w:rsidRPr="00172BD5">
        <w:rPr>
          <w:rFonts w:cs="Times New Roman"/>
          <w:color w:val="C00000"/>
          <w:szCs w:val="24"/>
        </w:rPr>
        <w:t xml:space="preserve">Mark connects with the Torah Seder through the four-fold use of the word </w:t>
      </w:r>
      <w:r w:rsidRPr="00172BD5">
        <w:rPr>
          <w:rFonts w:cs="Times New Roman"/>
          <w:b/>
          <w:bCs/>
          <w:color w:val="C00000"/>
          <w:szCs w:val="24"/>
        </w:rPr>
        <w:t>“release.”</w:t>
      </w:r>
      <w:r w:rsidRPr="00172BD5">
        <w:rPr>
          <w:rFonts w:cs="Times New Roman"/>
          <w:color w:val="C00000"/>
          <w:szCs w:val="24"/>
        </w:rPr>
        <w:t xml:space="preserve"> This points to the Sh’mittah (Sabbatical Year of Release) which is located in Deuteronomy 14:1-2, of our Torah Seder for this Shabbat (Sabbath).</w:t>
      </w:r>
    </w:p>
    <w:p w:rsidR="00BC4FCB" w:rsidRPr="00172BD5" w:rsidRDefault="00BC4FCB" w:rsidP="00B11AAC">
      <w:pPr>
        <w:pStyle w:val="Commentarynotes"/>
        <w:spacing w:after="0"/>
        <w:ind w:left="720"/>
        <w:rPr>
          <w:color w:val="C00000"/>
          <w:sz w:val="24"/>
          <w:szCs w:val="24"/>
        </w:rPr>
      </w:pPr>
    </w:p>
    <w:p w:rsidR="00BC4FCB" w:rsidRPr="00172BD5" w:rsidRDefault="00BC4FCB" w:rsidP="00B11AAC">
      <w:pPr>
        <w:pStyle w:val="ListParagraph"/>
        <w:rPr>
          <w:rFonts w:cs="Times New Roman"/>
          <w:color w:val="C00000"/>
          <w:szCs w:val="24"/>
        </w:rPr>
      </w:pPr>
      <w:bookmarkStart w:id="1" w:name="_Toc305875650"/>
      <w:r w:rsidRPr="00172BD5">
        <w:rPr>
          <w:rFonts w:cs="Times New Roman"/>
          <w:b/>
          <w:bCs/>
          <w:color w:val="C00000"/>
          <w:szCs w:val="24"/>
        </w:rPr>
        <w:t>Tehillim</w:t>
      </w:r>
      <w:bookmarkEnd w:id="1"/>
      <w:r w:rsidRPr="00172BD5">
        <w:rPr>
          <w:rFonts w:cs="Times New Roman"/>
          <w:b/>
          <w:bCs/>
          <w:color w:val="C00000"/>
          <w:szCs w:val="24"/>
        </w:rPr>
        <w:t xml:space="preserve"> (Psalms)</w:t>
      </w:r>
      <w:bookmarkStart w:id="2" w:name="_Toc305875651"/>
    </w:p>
    <w:p w:rsidR="00BC4FCB" w:rsidRPr="00172BD5" w:rsidRDefault="00BC4FCB" w:rsidP="00B11AAC">
      <w:pPr>
        <w:pStyle w:val="ListParagraph"/>
        <w:rPr>
          <w:rFonts w:cs="Times New Roman"/>
          <w:color w:val="C00000"/>
          <w:szCs w:val="24"/>
        </w:rPr>
      </w:pPr>
      <w:r w:rsidRPr="00172BD5">
        <w:rPr>
          <w:rFonts w:cs="Times New Roman"/>
          <w:b/>
          <w:bCs/>
          <w:color w:val="C00000"/>
          <w:szCs w:val="24"/>
        </w:rPr>
        <w:t>Psalm 119:110</w:t>
      </w:r>
      <w:r w:rsidRPr="00172BD5">
        <w:rPr>
          <w:rFonts w:cs="Times New Roman"/>
          <w:color w:val="C00000"/>
          <w:szCs w:val="24"/>
        </w:rPr>
        <w:t xml:space="preserve"> – “The wicked laid a snare for me, but I did not stray from Your precepts,” can be seen as Yeshua’s condition before Pilate and the Kohen Gadol (High Priest). He may have been tempted to solve his situation by using the same means as Bar Abba.</w:t>
      </w:r>
    </w:p>
    <w:p w:rsidR="00BC4FCB" w:rsidRPr="00172BD5" w:rsidRDefault="00BC4FCB" w:rsidP="00B11AAC">
      <w:pPr>
        <w:pStyle w:val="ListParagraph"/>
        <w:rPr>
          <w:rFonts w:cs="Times New Roman"/>
          <w:color w:val="C00000"/>
          <w:szCs w:val="24"/>
        </w:rPr>
      </w:pPr>
    </w:p>
    <w:p w:rsidR="00BC4FCB" w:rsidRPr="00172BD5" w:rsidRDefault="00BC4FCB" w:rsidP="00B11AAC">
      <w:pPr>
        <w:pStyle w:val="ListParagraph"/>
        <w:rPr>
          <w:rFonts w:cs="Times New Roman"/>
          <w:b/>
          <w:bCs/>
          <w:color w:val="C00000"/>
          <w:szCs w:val="24"/>
        </w:rPr>
      </w:pPr>
      <w:r w:rsidRPr="00172BD5">
        <w:rPr>
          <w:rFonts w:cs="Times New Roman"/>
          <w:b/>
          <w:bCs/>
          <w:color w:val="C00000"/>
          <w:szCs w:val="24"/>
        </w:rPr>
        <w:t>Ashlamatah</w:t>
      </w:r>
      <w:bookmarkEnd w:id="2"/>
      <w:r w:rsidRPr="00172BD5">
        <w:rPr>
          <w:rFonts w:cs="Times New Roman"/>
          <w:b/>
          <w:bCs/>
          <w:color w:val="C00000"/>
          <w:szCs w:val="24"/>
        </w:rPr>
        <w:t xml:space="preserve"> (Lesson from the Prophets)</w:t>
      </w:r>
    </w:p>
    <w:p w:rsidR="00BC4FCB" w:rsidRPr="00172BD5" w:rsidRDefault="00BC4FCB" w:rsidP="00B11AAC">
      <w:pPr>
        <w:pStyle w:val="ListParagraph"/>
        <w:rPr>
          <w:rFonts w:cs="Times New Roman"/>
          <w:color w:val="C00000"/>
          <w:szCs w:val="24"/>
        </w:rPr>
      </w:pPr>
      <w:r w:rsidRPr="00172BD5">
        <w:rPr>
          <w:rFonts w:cs="Times New Roman"/>
          <w:color w:val="C00000"/>
          <w:szCs w:val="24"/>
        </w:rPr>
        <w:lastRenderedPageBreak/>
        <w:t>Yeshayahu’s (Isaiah’s) opening in verse 1. of chapter 63 says… “Who is this coming from Edom, with soiled garments, from Bozrah, this one [Who was] stately in His apparel, girded with the greatness of His strength? "I speak with righteousness/generosity, great to save." This must have been an expected Messianic response to the situation of Rome/Edom’s occupation of Eretz Yisrael.</w:t>
      </w:r>
    </w:p>
    <w:p w:rsidR="00BC4FCB" w:rsidRPr="00172BD5" w:rsidRDefault="00BC4FCB"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In your opinion what key message/s did Hakham Tsefet try to convey in Mark 15:6-15?</w:t>
      </w:r>
    </w:p>
    <w:p w:rsidR="00BC4FCB" w:rsidRPr="00172BD5" w:rsidRDefault="0077695C" w:rsidP="00B11AAC">
      <w:pPr>
        <w:ind w:left="720"/>
        <w:rPr>
          <w:rFonts w:cs="Times New Roman"/>
          <w:color w:val="C00000"/>
          <w:szCs w:val="24"/>
          <w:lang w:val="en-AU"/>
        </w:rPr>
      </w:pPr>
      <w:r w:rsidRPr="00172BD5">
        <w:rPr>
          <w:rFonts w:cs="Times New Roman"/>
          <w:color w:val="C00000"/>
          <w:szCs w:val="24"/>
          <w:lang w:val="en-AU"/>
        </w:rPr>
        <w:t>Even the Gentil</w:t>
      </w:r>
      <w:r w:rsidR="00272664" w:rsidRPr="00172BD5">
        <w:rPr>
          <w:rFonts w:cs="Times New Roman"/>
          <w:color w:val="C00000"/>
          <w:szCs w:val="24"/>
          <w:lang w:val="en-AU"/>
        </w:rPr>
        <w:t>e king found no fault in Yeshua, therefore He was killed only out of jealousy.</w:t>
      </w:r>
    </w:p>
    <w:p w:rsidR="00B11AAC" w:rsidRPr="00172BD5" w:rsidRDefault="00B11AAC" w:rsidP="00B11AAC">
      <w:pPr>
        <w:ind w:left="720"/>
        <w:rPr>
          <w:rFonts w:cs="Times New Roman"/>
          <w:color w:val="C00000"/>
          <w:szCs w:val="24"/>
          <w:lang w:val="en-AU"/>
        </w:rPr>
      </w:pPr>
    </w:p>
    <w:p w:rsidR="00B11AAC" w:rsidRPr="00172BD5" w:rsidRDefault="00B11AAC" w:rsidP="00B11AAC">
      <w:pPr>
        <w:ind w:left="720"/>
        <w:rPr>
          <w:rFonts w:cs="Times New Roman"/>
          <w:color w:val="C00000"/>
          <w:szCs w:val="24"/>
          <w:lang w:val="en-AU"/>
        </w:rPr>
      </w:pPr>
      <w:r w:rsidRPr="00172BD5">
        <w:rPr>
          <w:rFonts w:cs="Times New Roman"/>
          <w:color w:val="C00000"/>
          <w:szCs w:val="24"/>
          <w:lang w:val="en-AU"/>
        </w:rPr>
        <w:t>Simply stated the sanctification of time requires specific actions at specific times. To act outside of those appointed times (Divine Appointments) is to miss the point of each of the lessons taught by the Hakhamim/Rabbis. Acting in accordance with the rhythm of G-d’s timing insures success. However, when we try to accomplish the will of G-d at the wrong time we bring ruin and tragedy on ourselves.</w:t>
      </w:r>
    </w:p>
    <w:p w:rsidR="00BC4FCB" w:rsidRPr="00172BD5" w:rsidRDefault="00BC4FCB"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relationship does Shabbat (the weekly Sabbath) have to Shebi</w:t>
      </w:r>
      <w:r w:rsidR="00B11AAC" w:rsidRPr="00172BD5">
        <w:rPr>
          <w:rFonts w:cs="Times New Roman"/>
          <w:szCs w:val="24"/>
          <w:lang w:val="en-AU"/>
        </w:rPr>
        <w:t>’</w:t>
      </w:r>
      <w:r w:rsidRPr="00172BD5">
        <w:rPr>
          <w:rFonts w:cs="Times New Roman"/>
          <w:szCs w:val="24"/>
          <w:lang w:val="en-AU"/>
        </w:rPr>
        <w:t>it (the Sabbatical Year)?</w:t>
      </w:r>
    </w:p>
    <w:p w:rsidR="00272664" w:rsidRPr="00172BD5" w:rsidRDefault="00272664" w:rsidP="00B11AAC">
      <w:pPr>
        <w:ind w:left="720"/>
        <w:rPr>
          <w:rFonts w:cs="Times New Roman"/>
          <w:color w:val="C00000"/>
          <w:szCs w:val="24"/>
          <w:lang w:val="en-AU"/>
        </w:rPr>
      </w:pPr>
      <w:r w:rsidRPr="00172BD5">
        <w:rPr>
          <w:rFonts w:cs="Times New Roman"/>
          <w:color w:val="C00000"/>
          <w:szCs w:val="24"/>
          <w:lang w:val="en-AU"/>
        </w:rPr>
        <w:t>Shabbat demonstrates HaShem’s ownership of time and the Sabbatical year demonstrates His ownership of the land.</w:t>
      </w:r>
    </w:p>
    <w:p w:rsidR="00272664" w:rsidRPr="00172BD5" w:rsidRDefault="00272664"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What circumstance initiated the Prosbul law?</w:t>
      </w:r>
    </w:p>
    <w:p w:rsidR="00AE7150" w:rsidRPr="00172BD5" w:rsidRDefault="00AE7150" w:rsidP="00B11AAC">
      <w:pPr>
        <w:ind w:left="720"/>
        <w:rPr>
          <w:rFonts w:cs="Times New Roman"/>
          <w:color w:val="C00000"/>
          <w:szCs w:val="24"/>
          <w:lang w:val="en-AU"/>
        </w:rPr>
      </w:pPr>
      <w:r w:rsidRPr="00172BD5">
        <w:rPr>
          <w:rFonts w:cs="Times New Roman"/>
          <w:color w:val="C00000"/>
          <w:szCs w:val="24"/>
          <w:lang w:val="en-AU"/>
        </w:rPr>
        <w:t>There were those who had planned not to pay for the loan given them immediately prior to the Year of Release, Sh’mittah. By the enactment of the Prosbul law, Rabbi Hillel guaranteed the repayment of monies borrowed at the threshold of the Sh’mittah (Sabbatical Year).</w:t>
      </w:r>
    </w:p>
    <w:p w:rsidR="00AE7150" w:rsidRPr="00172BD5" w:rsidRDefault="00AE7150"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How is the Sabbath Erub related to Shebi‘it (the Sabbatical Year)?</w:t>
      </w:r>
    </w:p>
    <w:p w:rsidR="00AE7150" w:rsidRPr="00172BD5" w:rsidRDefault="00AE7150" w:rsidP="00B11AAC">
      <w:pPr>
        <w:ind w:left="720"/>
        <w:rPr>
          <w:rFonts w:cs="Times New Roman"/>
          <w:color w:val="C00000"/>
          <w:szCs w:val="24"/>
          <w:lang w:val="en-AU"/>
        </w:rPr>
      </w:pPr>
      <w:r w:rsidRPr="00172BD5">
        <w:rPr>
          <w:rFonts w:cs="Times New Roman"/>
          <w:color w:val="C00000"/>
          <w:szCs w:val="24"/>
          <w:lang w:val="en-AU"/>
        </w:rPr>
        <w:t>Shabbat and Shebi‘it teach us that G-d is not only the Master of the Land, but He is also the Master of Time.</w:t>
      </w:r>
    </w:p>
    <w:p w:rsidR="00AE7150" w:rsidRPr="00172BD5" w:rsidRDefault="00AE7150" w:rsidP="00B11AAC">
      <w:pPr>
        <w:ind w:left="720"/>
        <w:rPr>
          <w:rFonts w:cs="Times New Roman"/>
          <w:szCs w:val="24"/>
          <w:lang w:val="en-AU"/>
        </w:rPr>
      </w:pPr>
    </w:p>
    <w:p w:rsidR="004133AC" w:rsidRPr="00172BD5" w:rsidRDefault="004133AC" w:rsidP="00B11AAC">
      <w:pPr>
        <w:numPr>
          <w:ilvl w:val="0"/>
          <w:numId w:val="1"/>
        </w:numPr>
        <w:rPr>
          <w:rFonts w:cs="Times New Roman"/>
          <w:szCs w:val="24"/>
          <w:lang w:val="en-AU"/>
        </w:rPr>
      </w:pPr>
      <w:r w:rsidRPr="00172BD5">
        <w:rPr>
          <w:rFonts w:cs="Times New Roman"/>
          <w:szCs w:val="24"/>
          <w:lang w:val="en-AU"/>
        </w:rPr>
        <w:t>In your opinion, and taking into consideration all of the above readings for this Sabbath, what is the prophetic message (the idea that encapsulates all the Scripture passages read) for this week?</w:t>
      </w:r>
    </w:p>
    <w:p w:rsidR="00AE7150" w:rsidRPr="00172BD5" w:rsidRDefault="006715B1" w:rsidP="00B11AAC">
      <w:pPr>
        <w:ind w:left="720"/>
        <w:rPr>
          <w:rFonts w:cs="Times New Roman"/>
          <w:color w:val="C00000"/>
          <w:szCs w:val="24"/>
          <w:lang w:val="en-AU"/>
        </w:rPr>
      </w:pPr>
      <w:r w:rsidRPr="00172BD5">
        <w:rPr>
          <w:rFonts w:cs="Times New Roman"/>
          <w:color w:val="C00000"/>
          <w:szCs w:val="24"/>
          <w:lang w:val="en-AU"/>
        </w:rPr>
        <w:t>Act like the Children of HaShem and fix your heart towards the needy.</w:t>
      </w:r>
    </w:p>
    <w:p w:rsidR="00EB7305" w:rsidRPr="00172BD5" w:rsidRDefault="00EB7305" w:rsidP="00B11AAC">
      <w:pPr>
        <w:ind w:left="720"/>
        <w:rPr>
          <w:rFonts w:cs="Times New Roman"/>
          <w:color w:val="C00000"/>
          <w:szCs w:val="24"/>
          <w:lang w:val="en-AU"/>
        </w:rPr>
      </w:pPr>
    </w:p>
    <w:p w:rsidR="00EB7305" w:rsidRPr="00172BD5" w:rsidRDefault="00EB7305" w:rsidP="00B11AAC">
      <w:pPr>
        <w:ind w:left="720"/>
        <w:rPr>
          <w:rFonts w:cs="Times New Roman"/>
          <w:color w:val="C00000"/>
          <w:szCs w:val="24"/>
          <w:lang w:val="en-AU"/>
        </w:rPr>
      </w:pPr>
      <w:r w:rsidRPr="00172BD5">
        <w:rPr>
          <w:rFonts w:cs="Times New Roman"/>
          <w:color w:val="C00000"/>
          <w:szCs w:val="24"/>
          <w:lang w:val="en-AU"/>
        </w:rPr>
        <w:t>Acting in accordance with the rhythm of G-d’s timing insures success. However, when we try to accomplish the will of G-d at the wrong time we bring ruin and tragedy on ourselves.</w:t>
      </w:r>
    </w:p>
    <w:bookmarkEnd w:id="0"/>
    <w:p w:rsidR="004570BC" w:rsidRDefault="004570BC" w:rsidP="00B11AA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AC"/>
    <w:rsid w:val="00001D83"/>
    <w:rsid w:val="00172BD5"/>
    <w:rsid w:val="002038B6"/>
    <w:rsid w:val="00272664"/>
    <w:rsid w:val="00333EC9"/>
    <w:rsid w:val="00384C94"/>
    <w:rsid w:val="003C422B"/>
    <w:rsid w:val="003E63DB"/>
    <w:rsid w:val="00400939"/>
    <w:rsid w:val="00410E73"/>
    <w:rsid w:val="004133AC"/>
    <w:rsid w:val="004570BC"/>
    <w:rsid w:val="005D31DD"/>
    <w:rsid w:val="00651C0B"/>
    <w:rsid w:val="00667044"/>
    <w:rsid w:val="006715B1"/>
    <w:rsid w:val="006A7C54"/>
    <w:rsid w:val="0077695C"/>
    <w:rsid w:val="008225DD"/>
    <w:rsid w:val="008C7135"/>
    <w:rsid w:val="00A33DA1"/>
    <w:rsid w:val="00AE7150"/>
    <w:rsid w:val="00B11AAC"/>
    <w:rsid w:val="00B945DC"/>
    <w:rsid w:val="00BC4FCB"/>
    <w:rsid w:val="00BD41DB"/>
    <w:rsid w:val="00C363E8"/>
    <w:rsid w:val="00D355BC"/>
    <w:rsid w:val="00D41408"/>
    <w:rsid w:val="00D61A88"/>
    <w:rsid w:val="00DA441B"/>
    <w:rsid w:val="00E97F18"/>
    <w:rsid w:val="00EA1EED"/>
    <w:rsid w:val="00EB7305"/>
    <w:rsid w:val="00FD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DA441B"/>
    <w:pPr>
      <w:widowControl w:val="0"/>
      <w:autoSpaceDE w:val="0"/>
      <w:autoSpaceDN w:val="0"/>
      <w:adjustRightInd w:val="0"/>
      <w:jc w:val="left"/>
    </w:pPr>
    <w:rPr>
      <w:rFonts w:eastAsia="Times New Roman" w:cs="Times New Roman"/>
      <w:sz w:val="16"/>
      <w:szCs w:val="24"/>
      <w:lang w:bidi="he-IL"/>
    </w:rPr>
  </w:style>
  <w:style w:type="character" w:customStyle="1" w:styleId="FootnoteTextChar">
    <w:name w:val="Footnote Text Char"/>
    <w:basedOn w:val="DefaultParagraphFont"/>
    <w:link w:val="FootnoteText"/>
    <w:rsid w:val="00DA441B"/>
    <w:rPr>
      <w:rFonts w:ascii="Times New Roman" w:eastAsia="Times New Roman" w:hAnsi="Times New Roman" w:cs="Times New Roman"/>
      <w:sz w:val="16"/>
      <w:szCs w:val="24"/>
      <w:lang w:bidi="he-IL"/>
    </w:rPr>
  </w:style>
  <w:style w:type="paragraph" w:styleId="ListParagraph">
    <w:name w:val="List Paragraph"/>
    <w:basedOn w:val="Normal"/>
    <w:uiPriority w:val="34"/>
    <w:qFormat/>
    <w:rsid w:val="00410E73"/>
    <w:pPr>
      <w:ind w:left="720"/>
      <w:contextualSpacing/>
    </w:pPr>
  </w:style>
  <w:style w:type="paragraph" w:customStyle="1" w:styleId="Scripture">
    <w:name w:val="Scripture"/>
    <w:basedOn w:val="Normal"/>
    <w:link w:val="ScriptureChar"/>
    <w:qFormat/>
    <w:rsid w:val="008C7135"/>
    <w:pPr>
      <w:autoSpaceDE w:val="0"/>
      <w:autoSpaceDN w:val="0"/>
      <w:adjustRightInd w:val="0"/>
      <w:spacing w:after="120"/>
      <w:ind w:left="274"/>
    </w:pPr>
    <w:rPr>
      <w:rFonts w:eastAsia="Calibri" w:cs="Cambria"/>
      <w:sz w:val="20"/>
      <w:szCs w:val="20"/>
      <w:lang w:bidi="he-IL"/>
    </w:rPr>
  </w:style>
  <w:style w:type="character" w:customStyle="1" w:styleId="ScriptureChar">
    <w:name w:val="Scripture Char"/>
    <w:link w:val="Scripture"/>
    <w:rsid w:val="008C7135"/>
    <w:rPr>
      <w:rFonts w:ascii="Times New Roman" w:eastAsia="Calibri" w:hAnsi="Times New Roman" w:cs="Cambria"/>
      <w:sz w:val="20"/>
      <w:szCs w:val="20"/>
      <w:lang w:bidi="he-IL"/>
    </w:rPr>
  </w:style>
  <w:style w:type="paragraph" w:customStyle="1" w:styleId="Commentarynotes">
    <w:name w:val="Commentary notes"/>
    <w:basedOn w:val="Quote"/>
    <w:qFormat/>
    <w:rsid w:val="00BC4FCB"/>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BC4FCB"/>
    <w:rPr>
      <w:i/>
      <w:iCs/>
      <w:color w:val="000000" w:themeColor="text1"/>
    </w:rPr>
  </w:style>
  <w:style w:type="character" w:customStyle="1" w:styleId="QuoteChar">
    <w:name w:val="Quote Char"/>
    <w:basedOn w:val="DefaultParagraphFont"/>
    <w:link w:val="Quote"/>
    <w:uiPriority w:val="29"/>
    <w:rsid w:val="00BC4FCB"/>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DA441B"/>
    <w:pPr>
      <w:widowControl w:val="0"/>
      <w:autoSpaceDE w:val="0"/>
      <w:autoSpaceDN w:val="0"/>
      <w:adjustRightInd w:val="0"/>
      <w:jc w:val="left"/>
    </w:pPr>
    <w:rPr>
      <w:rFonts w:eastAsia="Times New Roman" w:cs="Times New Roman"/>
      <w:sz w:val="16"/>
      <w:szCs w:val="24"/>
      <w:lang w:bidi="he-IL"/>
    </w:rPr>
  </w:style>
  <w:style w:type="character" w:customStyle="1" w:styleId="FootnoteTextChar">
    <w:name w:val="Footnote Text Char"/>
    <w:basedOn w:val="DefaultParagraphFont"/>
    <w:link w:val="FootnoteText"/>
    <w:rsid w:val="00DA441B"/>
    <w:rPr>
      <w:rFonts w:ascii="Times New Roman" w:eastAsia="Times New Roman" w:hAnsi="Times New Roman" w:cs="Times New Roman"/>
      <w:sz w:val="16"/>
      <w:szCs w:val="24"/>
      <w:lang w:bidi="he-IL"/>
    </w:rPr>
  </w:style>
  <w:style w:type="paragraph" w:styleId="ListParagraph">
    <w:name w:val="List Paragraph"/>
    <w:basedOn w:val="Normal"/>
    <w:uiPriority w:val="34"/>
    <w:qFormat/>
    <w:rsid w:val="00410E73"/>
    <w:pPr>
      <w:ind w:left="720"/>
      <w:contextualSpacing/>
    </w:pPr>
  </w:style>
  <w:style w:type="paragraph" w:customStyle="1" w:styleId="Scripture">
    <w:name w:val="Scripture"/>
    <w:basedOn w:val="Normal"/>
    <w:link w:val="ScriptureChar"/>
    <w:qFormat/>
    <w:rsid w:val="008C7135"/>
    <w:pPr>
      <w:autoSpaceDE w:val="0"/>
      <w:autoSpaceDN w:val="0"/>
      <w:adjustRightInd w:val="0"/>
      <w:spacing w:after="120"/>
      <w:ind w:left="274"/>
    </w:pPr>
    <w:rPr>
      <w:rFonts w:eastAsia="Calibri" w:cs="Cambria"/>
      <w:sz w:val="20"/>
      <w:szCs w:val="20"/>
      <w:lang w:bidi="he-IL"/>
    </w:rPr>
  </w:style>
  <w:style w:type="character" w:customStyle="1" w:styleId="ScriptureChar">
    <w:name w:val="Scripture Char"/>
    <w:link w:val="Scripture"/>
    <w:rsid w:val="008C7135"/>
    <w:rPr>
      <w:rFonts w:ascii="Times New Roman" w:eastAsia="Calibri" w:hAnsi="Times New Roman" w:cs="Cambria"/>
      <w:sz w:val="20"/>
      <w:szCs w:val="20"/>
      <w:lang w:bidi="he-IL"/>
    </w:rPr>
  </w:style>
  <w:style w:type="paragraph" w:customStyle="1" w:styleId="Commentarynotes">
    <w:name w:val="Commentary notes"/>
    <w:basedOn w:val="Quote"/>
    <w:qFormat/>
    <w:rsid w:val="00BC4FCB"/>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BC4FCB"/>
    <w:rPr>
      <w:i/>
      <w:iCs/>
      <w:color w:val="000000" w:themeColor="text1"/>
    </w:rPr>
  </w:style>
  <w:style w:type="character" w:customStyle="1" w:styleId="QuoteChar">
    <w:name w:val="Quote Char"/>
    <w:basedOn w:val="DefaultParagraphFont"/>
    <w:link w:val="Quote"/>
    <w:uiPriority w:val="29"/>
    <w:rsid w:val="00BC4FCB"/>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2011-12-16T22:51:00Z</dcterms:created>
  <dcterms:modified xsi:type="dcterms:W3CDTF">2011-12-16T22:51:00Z</dcterms:modified>
</cp:coreProperties>
</file>